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51350477"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w:t>
      </w:r>
      <w:r w:rsidR="005A2FD2">
        <w:rPr>
          <w:b/>
          <w:noProof/>
          <w:sz w:val="24"/>
        </w:rPr>
        <w:t>100</w:t>
      </w:r>
      <w:r w:rsidRPr="00467DC3">
        <w:rPr>
          <w:b/>
          <w:noProof/>
          <w:sz w:val="24"/>
        </w:rPr>
        <w:t>-e</w:t>
      </w:r>
      <w:r w:rsidRPr="00467DC3">
        <w:rPr>
          <w:b/>
          <w:i/>
          <w:noProof/>
          <w:sz w:val="28"/>
        </w:rPr>
        <w:tab/>
        <w:t>R4-2</w:t>
      </w:r>
      <w:r>
        <w:rPr>
          <w:b/>
          <w:i/>
          <w:noProof/>
          <w:sz w:val="28"/>
        </w:rPr>
        <w:t>1</w:t>
      </w:r>
      <w:r w:rsidR="00D62D3D">
        <w:rPr>
          <w:b/>
          <w:i/>
          <w:noProof/>
          <w:sz w:val="28"/>
        </w:rPr>
        <w:t>1</w:t>
      </w:r>
      <w:r w:rsidR="00D95EE6">
        <w:rPr>
          <w:b/>
          <w:i/>
          <w:noProof/>
          <w:sz w:val="28"/>
        </w:rPr>
        <w:t>3740</w:t>
      </w:r>
    </w:p>
    <w:p w14:paraId="74EBFA8D" w14:textId="572AA717"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5A2FD2">
        <w:rPr>
          <w:sz w:val="24"/>
        </w:rPr>
        <w:t>August</w:t>
      </w:r>
      <w:r w:rsidR="00C96CF4">
        <w:rPr>
          <w:sz w:val="24"/>
        </w:rPr>
        <w:t xml:space="preserve"> 1</w:t>
      </w:r>
      <w:r w:rsidR="005A2FD2">
        <w:rPr>
          <w:sz w:val="24"/>
        </w:rPr>
        <w:t>6</w:t>
      </w:r>
      <w:r w:rsidR="00C96CF4" w:rsidRPr="00C96CF4">
        <w:rPr>
          <w:sz w:val="24"/>
          <w:vertAlign w:val="superscript"/>
        </w:rPr>
        <w:t>th</w:t>
      </w:r>
      <w:r w:rsidR="00C96CF4">
        <w:rPr>
          <w:sz w:val="24"/>
        </w:rPr>
        <w:t>-27</w:t>
      </w:r>
      <w:r w:rsidR="00C96CF4"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A8510DE" w:rsidR="00744830" w:rsidRPr="00467DC3" w:rsidRDefault="00744830" w:rsidP="00744830">
      <w:r w:rsidRPr="00467DC3">
        <w:rPr>
          <w:b/>
        </w:rPr>
        <w:t>Title:</w:t>
      </w:r>
      <w:r w:rsidRPr="00467DC3">
        <w:tab/>
      </w:r>
      <w:r w:rsidRPr="00467DC3">
        <w:tab/>
      </w:r>
      <w:r w:rsidRPr="00467DC3">
        <w:tab/>
      </w:r>
      <w:r w:rsidR="00807EBA">
        <w:t xml:space="preserve">NTN: </w:t>
      </w:r>
      <w:r w:rsidR="00E43B0E">
        <w:t>General</w:t>
      </w:r>
    </w:p>
    <w:p w14:paraId="38171D17" w14:textId="0D90BF20" w:rsidR="00744830" w:rsidRPr="00467DC3" w:rsidRDefault="00744830" w:rsidP="00744830">
      <w:r w:rsidRPr="00467DC3">
        <w:rPr>
          <w:b/>
        </w:rPr>
        <w:t>Agenda item:</w:t>
      </w:r>
      <w:r w:rsidRPr="00467DC3">
        <w:tab/>
      </w:r>
      <w:r w:rsidRPr="00467DC3">
        <w:tab/>
      </w:r>
      <w:r w:rsidR="000B4259">
        <w:t>9.1</w:t>
      </w:r>
      <w:r w:rsidR="005A2FD2">
        <w:t>3</w:t>
      </w:r>
      <w:r w:rsidR="00E43B0E">
        <w:t>.1.4</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3855399D" w:rsidR="004F05E7" w:rsidRDefault="004F05E7" w:rsidP="004F05E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sidR="005668DD">
        <w:rPr>
          <w:rFonts w:eastAsia="MS Mincho"/>
          <w:lang w:val="en-US" w:eastAsia="ja-JP"/>
        </w:rPr>
        <w:fldChar w:fldCharType="begin"/>
      </w:r>
      <w:r w:rsidR="005668DD">
        <w:rPr>
          <w:rFonts w:eastAsia="MS Mincho"/>
          <w:lang w:val="en-US" w:eastAsia="ja-JP"/>
        </w:rPr>
        <w:instrText xml:space="preserve"> REF _Ref71297840 \r \h </w:instrText>
      </w:r>
      <w:r w:rsidR="005668DD">
        <w:rPr>
          <w:rFonts w:eastAsia="MS Mincho"/>
          <w:lang w:val="en-US" w:eastAsia="ja-JP"/>
        </w:rPr>
      </w:r>
      <w:r w:rsidR="005668DD">
        <w:rPr>
          <w:rFonts w:eastAsia="MS Mincho"/>
          <w:lang w:val="en-US" w:eastAsia="ja-JP"/>
        </w:rPr>
        <w:fldChar w:fldCharType="separate"/>
      </w:r>
      <w:r w:rsidR="0098069F">
        <w:rPr>
          <w:rFonts w:eastAsia="MS Mincho"/>
          <w:lang w:val="en-US" w:eastAsia="ja-JP"/>
        </w:rPr>
        <w:t>[1]</w:t>
      </w:r>
      <w:r w:rsidR="005668DD">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It has been revised in last RAN#</w:t>
      </w:r>
      <w:r w:rsidR="00544FF3">
        <w:rPr>
          <w:rFonts w:eastAsia="MS Mincho"/>
          <w:lang w:val="en-US" w:eastAsia="ja-JP"/>
        </w:rPr>
        <w:t>92</w:t>
      </w:r>
      <w:r>
        <w:rPr>
          <w:rFonts w:eastAsia="MS Mincho"/>
          <w:lang w:val="en-US" w:eastAsia="ja-JP"/>
        </w:rPr>
        <w:t>-e meeting</w:t>
      </w:r>
      <w:r w:rsidR="00C56E50">
        <w:rPr>
          <w:rFonts w:eastAsia="MS Mincho"/>
          <w:lang w:val="en-US" w:eastAsia="ja-JP"/>
        </w:rPr>
        <w:t xml:space="preserve"> </w:t>
      </w:r>
      <w:r w:rsidR="00C56E50">
        <w:rPr>
          <w:rFonts w:eastAsia="MS Mincho"/>
          <w:lang w:val="en-US" w:eastAsia="ja-JP"/>
        </w:rPr>
        <w:fldChar w:fldCharType="begin"/>
      </w:r>
      <w:r w:rsidR="00C56E50">
        <w:rPr>
          <w:rFonts w:eastAsia="MS Mincho"/>
          <w:lang w:val="en-US" w:eastAsia="ja-JP"/>
        </w:rPr>
        <w:instrText xml:space="preserve"> REF _Ref61295180 \r \h </w:instrText>
      </w:r>
      <w:r w:rsidR="00C56E50">
        <w:rPr>
          <w:rFonts w:eastAsia="MS Mincho"/>
          <w:lang w:val="en-US" w:eastAsia="ja-JP"/>
        </w:rPr>
      </w:r>
      <w:r w:rsidR="00C56E50">
        <w:rPr>
          <w:rFonts w:eastAsia="MS Mincho"/>
          <w:lang w:val="en-US" w:eastAsia="ja-JP"/>
        </w:rPr>
        <w:fldChar w:fldCharType="separate"/>
      </w:r>
      <w:r w:rsidR="0098069F">
        <w:rPr>
          <w:rFonts w:eastAsia="MS Mincho"/>
          <w:lang w:val="en-US" w:eastAsia="ja-JP"/>
        </w:rPr>
        <w:t>[2]</w:t>
      </w:r>
      <w:r w:rsidR="00C56E50">
        <w:rPr>
          <w:rFonts w:eastAsia="MS Mincho"/>
          <w:lang w:val="en-US" w:eastAsia="ja-JP"/>
        </w:rPr>
        <w:fldChar w:fldCharType="end"/>
      </w:r>
      <w:r>
        <w:rPr>
          <w:rFonts w:eastAsia="MS Mincho"/>
          <w:lang w:val="en-US" w:eastAsia="ja-JP"/>
        </w:rPr>
        <w:t>.</w:t>
      </w:r>
    </w:p>
    <w:p w14:paraId="137B4EEB" w14:textId="12510019" w:rsidR="006B44BC" w:rsidRDefault="006B44BC" w:rsidP="004F05E7">
      <w:pPr>
        <w:shd w:val="clear" w:color="auto" w:fill="FFFFFF"/>
        <w:rPr>
          <w:rFonts w:eastAsia="MS Mincho"/>
          <w:lang w:val="en-US" w:eastAsia="ja-JP"/>
        </w:rPr>
      </w:pPr>
      <w:r w:rsidRPr="009B397B">
        <w:rPr>
          <w:rFonts w:eastAsia="MS Mincho"/>
          <w:lang w:val="en-US" w:eastAsia="ja-JP"/>
        </w:rPr>
        <w:t xml:space="preserve">In last RAN4 meeting, </w:t>
      </w:r>
      <w:r w:rsidR="009B397B" w:rsidRPr="009B397B">
        <w:rPr>
          <w:rFonts w:eastAsia="MS Mincho"/>
          <w:lang w:val="en-US" w:eastAsia="ja-JP"/>
        </w:rPr>
        <w:t>there was some preliminary discussion related to the NTN band naming, but no conclusion was reached</w:t>
      </w:r>
      <w:r w:rsidR="00F668D7" w:rsidRPr="009B397B">
        <w:rPr>
          <w:rFonts w:eastAsia="MS Mincho"/>
          <w:lang w:val="en-US" w:eastAsia="ja-JP"/>
        </w:rPr>
        <w:t xml:space="preserve">. </w:t>
      </w:r>
      <w:r w:rsidR="009B397B" w:rsidRPr="009B397B">
        <w:rPr>
          <w:rFonts w:eastAsia="MS Mincho"/>
          <w:lang w:val="en-US" w:eastAsia="ja-JP"/>
        </w:rPr>
        <w:t>This contribution is addressing this aspect.</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136B843F" w14:textId="66AF5778" w:rsidR="00F567E1" w:rsidRDefault="004E7F7B" w:rsidP="00F668D7">
      <w:pPr>
        <w:pStyle w:val="Heading2"/>
      </w:pPr>
      <w:r>
        <w:t>NTN band numbering</w:t>
      </w:r>
    </w:p>
    <w:p w14:paraId="6FBB8303" w14:textId="32C1E691" w:rsidR="00544FF3" w:rsidRDefault="00286E19" w:rsidP="00544FF3">
      <w:pPr>
        <w:rPr>
          <w:lang w:val="en-GB"/>
        </w:rPr>
      </w:pPr>
      <w:r>
        <w:rPr>
          <w:lang w:val="en-GB"/>
        </w:rPr>
        <w:t>In last RAN4#99-bis-e meeting, the NTN band numbering plan was discussed</w:t>
      </w:r>
      <w:r w:rsidR="00415083">
        <w:rPr>
          <w:lang w:val="en-GB"/>
        </w:rPr>
        <w:t xml:space="preserve">. If it was agreed </w:t>
      </w:r>
      <w:r w:rsidR="00AE3571">
        <w:rPr>
          <w:lang w:val="en-GB"/>
        </w:rPr>
        <w:t>(</w:t>
      </w:r>
      <w:r w:rsidR="006B1D5C">
        <w:rPr>
          <w:highlight w:val="yellow"/>
          <w:lang w:val="en-GB"/>
        </w:rPr>
        <w:fldChar w:fldCharType="begin"/>
      </w:r>
      <w:r w:rsidR="006B1D5C">
        <w:rPr>
          <w:lang w:val="en-GB"/>
        </w:rPr>
        <w:instrText xml:space="preserve"> REF _Ref67507636 \r \h </w:instrText>
      </w:r>
      <w:r w:rsidR="006B1D5C">
        <w:rPr>
          <w:highlight w:val="yellow"/>
          <w:lang w:val="en-GB"/>
        </w:rPr>
      </w:r>
      <w:r w:rsidR="006B1D5C">
        <w:rPr>
          <w:highlight w:val="yellow"/>
          <w:lang w:val="en-GB"/>
        </w:rPr>
        <w:fldChar w:fldCharType="separate"/>
      </w:r>
      <w:r w:rsidR="006B1D5C">
        <w:rPr>
          <w:lang w:val="en-GB"/>
        </w:rPr>
        <w:t>[4]</w:t>
      </w:r>
      <w:r w:rsidR="006B1D5C">
        <w:rPr>
          <w:highlight w:val="yellow"/>
          <w:lang w:val="en-GB"/>
        </w:rPr>
        <w:fldChar w:fldCharType="end"/>
      </w:r>
      <w:r w:rsidR="00AE3571">
        <w:rPr>
          <w:lang w:val="en-GB"/>
        </w:rPr>
        <w:t xml:space="preserve">) </w:t>
      </w:r>
      <w:r w:rsidR="00415083">
        <w:rPr>
          <w:lang w:val="en-GB"/>
        </w:rPr>
        <w:t>the 1</w:t>
      </w:r>
      <w:r w:rsidR="00415083" w:rsidRPr="00415083">
        <w:rPr>
          <w:vertAlign w:val="superscript"/>
          <w:lang w:val="en-GB"/>
        </w:rPr>
        <w:t>st</w:t>
      </w:r>
      <w:r w:rsidR="00415083">
        <w:rPr>
          <w:lang w:val="en-GB"/>
        </w:rPr>
        <w:t xml:space="preserve"> NTN band will have the frequency range 1980-2010 MHz in UL and 2170-2200 MHz in DL, the band numbering was left for further discussion, waiting for additional companies inputs in this RAN4 meeting.</w:t>
      </w:r>
    </w:p>
    <w:p w14:paraId="477ABC42" w14:textId="77777777" w:rsidR="001772A8" w:rsidRDefault="00BD5DB4" w:rsidP="00BC2E5F">
      <w:pPr>
        <w:rPr>
          <w:lang w:val="en-GB"/>
        </w:rPr>
      </w:pPr>
      <w:r>
        <w:rPr>
          <w:lang w:val="en-GB"/>
        </w:rPr>
        <w:t xml:space="preserve">One important topic to align is the </w:t>
      </w:r>
      <w:r w:rsidR="00BC2E5F">
        <w:rPr>
          <w:lang w:val="en-GB"/>
        </w:rPr>
        <w:t xml:space="preserve">band </w:t>
      </w:r>
      <w:r w:rsidR="00754D4A">
        <w:rPr>
          <w:lang w:val="en-GB"/>
        </w:rPr>
        <w:t>numbering</w:t>
      </w:r>
      <w:r w:rsidR="00BC2E5F">
        <w:rPr>
          <w:lang w:val="en-GB"/>
        </w:rPr>
        <w:t xml:space="preserve"> plan so that we could easily introduce new NTN bands in the future in a consistent way. LTE bands are defined using a number only, while NR bands are all prefixed with “n”. </w:t>
      </w:r>
    </w:p>
    <w:p w14:paraId="36CEAEB1" w14:textId="14060F04" w:rsidR="00BC2E5F" w:rsidRDefault="00BC2E5F" w:rsidP="00BC2E5F">
      <w:pPr>
        <w:rPr>
          <w:lang w:val="en-GB"/>
        </w:rPr>
      </w:pPr>
      <w:r>
        <w:rPr>
          <w:lang w:val="en-GB"/>
        </w:rPr>
        <w:t>For NTN bands, we would then propose to prefix all bands with “</w:t>
      </w:r>
      <w:r w:rsidR="00C24FB2">
        <w:rPr>
          <w:lang w:val="en-GB"/>
        </w:rPr>
        <w:t>s</w:t>
      </w:r>
      <w:r>
        <w:rPr>
          <w:lang w:val="en-GB"/>
        </w:rPr>
        <w:t>”</w:t>
      </w:r>
      <w:r w:rsidR="00C24FB2">
        <w:rPr>
          <w:lang w:val="en-GB"/>
        </w:rPr>
        <w:t xml:space="preserve"> (“s” coming for </w:t>
      </w:r>
      <w:r w:rsidR="00C24FB2" w:rsidRPr="00C24FB2">
        <w:rPr>
          <w:b/>
          <w:bCs/>
          <w:lang w:val="en-GB"/>
        </w:rPr>
        <w:t>s</w:t>
      </w:r>
      <w:r w:rsidR="00C24FB2">
        <w:rPr>
          <w:lang w:val="en-GB"/>
        </w:rPr>
        <w:t>atellite)</w:t>
      </w:r>
      <w:r>
        <w:rPr>
          <w:lang w:val="en-GB"/>
        </w:rPr>
        <w:t>. This would highlight the band could be used for NTN</w:t>
      </w:r>
      <w:r w:rsidR="00C24FB2">
        <w:rPr>
          <w:lang w:val="en-GB"/>
        </w:rPr>
        <w:t>-satellite</w:t>
      </w:r>
      <w:r>
        <w:rPr>
          <w:lang w:val="en-GB"/>
        </w:rPr>
        <w:t xml:space="preserve"> type of application, and </w:t>
      </w:r>
      <w:r w:rsidR="00754D4A">
        <w:rPr>
          <w:lang w:val="en-GB"/>
        </w:rPr>
        <w:t>the</w:t>
      </w:r>
      <w:r w:rsidR="00C24FB2">
        <w:rPr>
          <w:lang w:val="en-GB"/>
        </w:rPr>
        <w:t xml:space="preserve"> band</w:t>
      </w:r>
      <w:r>
        <w:rPr>
          <w:lang w:val="en-GB"/>
        </w:rPr>
        <w:t xml:space="preserve"> </w:t>
      </w:r>
      <w:r w:rsidR="00C24FB2">
        <w:rPr>
          <w:lang w:val="en-GB"/>
        </w:rPr>
        <w:t>w</w:t>
      </w:r>
      <w:r>
        <w:rPr>
          <w:lang w:val="en-GB"/>
        </w:rPr>
        <w:t>as specified accordingly.</w:t>
      </w:r>
      <w:r w:rsidR="00A92728">
        <w:rPr>
          <w:lang w:val="en-GB"/>
        </w:rPr>
        <w:t xml:space="preserve"> Noting as well the new TS will be named “</w:t>
      </w:r>
      <w:r w:rsidR="00A92728" w:rsidRPr="00A92728">
        <w:rPr>
          <w:lang w:val="en-GB"/>
        </w:rPr>
        <w:t xml:space="preserve">NR; </w:t>
      </w:r>
      <w:r w:rsidR="00A92728" w:rsidRPr="001772A8">
        <w:rPr>
          <w:b/>
          <w:bCs/>
          <w:color w:val="FF0000"/>
          <w:lang w:val="en-GB"/>
        </w:rPr>
        <w:t>S</w:t>
      </w:r>
      <w:r w:rsidR="00A92728" w:rsidRPr="00A92728">
        <w:rPr>
          <w:lang w:val="en-GB"/>
        </w:rPr>
        <w:t>atellite Node radio transmission and reception”, using ”s” as prefix to satellite bands look appropriate.</w:t>
      </w:r>
    </w:p>
    <w:p w14:paraId="0957CB0B" w14:textId="7B870556" w:rsidR="00BC2E5F" w:rsidRPr="00BC2E5F" w:rsidRDefault="00BC2E5F" w:rsidP="00BC2E5F">
      <w:pPr>
        <w:rPr>
          <w:lang w:val="en-GB"/>
        </w:rPr>
      </w:pPr>
      <w:r>
        <w:rPr>
          <w:lang w:val="en-GB"/>
        </w:rPr>
        <w:t>Also, similar to NR conventions, we would propose any band specified in FR1 would have a number with one or two digits</w:t>
      </w:r>
      <w:r w:rsidR="00BD5DB4">
        <w:rPr>
          <w:lang w:val="en-GB"/>
        </w:rPr>
        <w:t xml:space="preserve"> (e.g. </w:t>
      </w:r>
      <w:r w:rsidR="00C24FB2">
        <w:rPr>
          <w:lang w:val="en-GB"/>
        </w:rPr>
        <w:t>s</w:t>
      </w:r>
      <w:r w:rsidR="00BD5DB4">
        <w:rPr>
          <w:lang w:val="en-GB"/>
        </w:rPr>
        <w:t>1)</w:t>
      </w:r>
      <w:r>
        <w:rPr>
          <w:lang w:val="en-GB"/>
        </w:rPr>
        <w:t xml:space="preserve">, while band specified in FR2 would have </w:t>
      </w:r>
      <w:r w:rsidR="00BD5DB4">
        <w:rPr>
          <w:lang w:val="en-GB"/>
        </w:rPr>
        <w:t xml:space="preserve">3 digits, the first one being “2” (e.g. </w:t>
      </w:r>
      <w:r w:rsidR="00C24FB2">
        <w:rPr>
          <w:lang w:val="en-GB"/>
        </w:rPr>
        <w:t>s</w:t>
      </w:r>
      <w:r w:rsidR="00BD5DB4">
        <w:rPr>
          <w:lang w:val="en-GB"/>
        </w:rPr>
        <w:t>2xx).</w:t>
      </w:r>
    </w:p>
    <w:p w14:paraId="466B7BC3" w14:textId="39342E15" w:rsidR="003A5FC3" w:rsidRPr="00BD5DB4" w:rsidRDefault="00BD5DB4" w:rsidP="00C96CF4">
      <w:pPr>
        <w:rPr>
          <w:b/>
          <w:bCs/>
          <w:lang w:val="en-GB"/>
        </w:rPr>
      </w:pPr>
      <w:r w:rsidRPr="00BD5DB4">
        <w:rPr>
          <w:b/>
          <w:bCs/>
          <w:lang w:val="en-GB"/>
        </w:rPr>
        <w:t>Proposal</w:t>
      </w:r>
      <w:r w:rsidR="009B397B">
        <w:rPr>
          <w:b/>
          <w:bCs/>
          <w:lang w:val="en-GB"/>
        </w:rPr>
        <w:t>1</w:t>
      </w:r>
      <w:r w:rsidRPr="00BD5DB4">
        <w:rPr>
          <w:b/>
          <w:bCs/>
          <w:lang w:val="en-GB"/>
        </w:rPr>
        <w:t xml:space="preserve">: NTN </w:t>
      </w:r>
      <w:r w:rsidR="00C24FB2">
        <w:rPr>
          <w:b/>
          <w:bCs/>
          <w:lang w:val="en-GB"/>
        </w:rPr>
        <w:t xml:space="preserve">satellite </w:t>
      </w:r>
      <w:r w:rsidRPr="00BD5DB4">
        <w:rPr>
          <w:b/>
          <w:bCs/>
          <w:lang w:val="en-GB"/>
        </w:rPr>
        <w:t xml:space="preserve">bands </w:t>
      </w:r>
      <w:r w:rsidR="00754D4A" w:rsidRPr="00BD5DB4">
        <w:rPr>
          <w:b/>
          <w:bCs/>
          <w:lang w:val="en-GB"/>
        </w:rPr>
        <w:t>will</w:t>
      </w:r>
      <w:r w:rsidRPr="00BD5DB4">
        <w:rPr>
          <w:b/>
          <w:bCs/>
          <w:lang w:val="en-GB"/>
        </w:rPr>
        <w:t xml:space="preserve"> be prefixed with “</w:t>
      </w:r>
      <w:r w:rsidR="00C24FB2">
        <w:rPr>
          <w:b/>
          <w:bCs/>
          <w:lang w:val="en-GB"/>
        </w:rPr>
        <w:t>s</w:t>
      </w:r>
      <w:r w:rsidRPr="00BD5DB4">
        <w:rPr>
          <w:b/>
          <w:bCs/>
          <w:lang w:val="en-GB"/>
        </w:rPr>
        <w:t xml:space="preserve">”. NTN </w:t>
      </w:r>
      <w:r w:rsidR="00754D4A">
        <w:rPr>
          <w:b/>
          <w:bCs/>
          <w:lang w:val="en-GB"/>
        </w:rPr>
        <w:t>satellite</w:t>
      </w:r>
      <w:r w:rsidR="00C24FB2">
        <w:rPr>
          <w:b/>
          <w:bCs/>
          <w:lang w:val="en-GB"/>
        </w:rPr>
        <w:t xml:space="preserve"> </w:t>
      </w:r>
      <w:r w:rsidRPr="00BD5DB4">
        <w:rPr>
          <w:b/>
          <w:bCs/>
          <w:lang w:val="en-GB"/>
        </w:rPr>
        <w:t xml:space="preserve">band in FR1 will have one or two digits number, while </w:t>
      </w:r>
      <w:r w:rsidR="00C24FB2">
        <w:rPr>
          <w:b/>
          <w:bCs/>
          <w:lang w:val="en-GB"/>
        </w:rPr>
        <w:t xml:space="preserve">NTN satellite </w:t>
      </w:r>
      <w:r w:rsidRPr="00BD5DB4">
        <w:rPr>
          <w:b/>
          <w:bCs/>
          <w:lang w:val="en-GB"/>
        </w:rPr>
        <w:t>band in FR2 will have three digits number, with the first digit being “3”.</w:t>
      </w:r>
    </w:p>
    <w:p w14:paraId="3E5F6274" w14:textId="77777777" w:rsidR="009B397B" w:rsidRDefault="009B397B" w:rsidP="00BD5DB4">
      <w:pPr>
        <w:rPr>
          <w:lang w:val="en-GB"/>
        </w:rPr>
      </w:pPr>
    </w:p>
    <w:p w14:paraId="0F55DE0D" w14:textId="39B70C4B" w:rsidR="00BD5DB4" w:rsidRDefault="00BD5DB4" w:rsidP="00BD5DB4">
      <w:pPr>
        <w:rPr>
          <w:lang w:val="en-GB"/>
        </w:rPr>
      </w:pPr>
      <w:r>
        <w:rPr>
          <w:lang w:val="en-GB"/>
        </w:rPr>
        <w:t>Regarding the band numbering, one initial proposal was to try to align with TN band plan, and so, this first NTN band should have number 65, as its frequency range overlaps partly with TN band 65/n65. But it should be noticed:</w:t>
      </w:r>
    </w:p>
    <w:p w14:paraId="6C345B7B" w14:textId="77777777" w:rsidR="00BD5DB4" w:rsidRDefault="00BD5DB4" w:rsidP="00BD5DB4">
      <w:pPr>
        <w:pStyle w:val="ListParagraph"/>
        <w:numPr>
          <w:ilvl w:val="0"/>
          <w:numId w:val="50"/>
        </w:numPr>
        <w:rPr>
          <w:lang w:val="en-GB"/>
        </w:rPr>
      </w:pPr>
      <w:r>
        <w:rPr>
          <w:lang w:val="en-GB"/>
        </w:rPr>
        <w:t>It’s not full overlap, only the last 30 MHz of band 65/n65 is overlapping with this NTN band. It might then be confusing using number “65” for this NTN band.</w:t>
      </w:r>
    </w:p>
    <w:p w14:paraId="2FA677D1" w14:textId="77777777" w:rsidR="00BD5DB4" w:rsidRDefault="00BD5DB4" w:rsidP="00BD5DB4">
      <w:pPr>
        <w:pStyle w:val="ListParagraph"/>
        <w:numPr>
          <w:ilvl w:val="0"/>
          <w:numId w:val="50"/>
        </w:numPr>
        <w:rPr>
          <w:lang w:val="en-GB"/>
        </w:rPr>
      </w:pPr>
      <w:r>
        <w:rPr>
          <w:lang w:val="en-GB"/>
        </w:rPr>
        <w:t>A BS and/or a UE supporting NTN will anyway have some specific characteristics. A UE supporting NTN would have to explicitly declared support for NTN band(s) even if it supports NR and any NR band.</w:t>
      </w:r>
    </w:p>
    <w:p w14:paraId="204F69C4" w14:textId="77777777" w:rsidR="00BD5DB4" w:rsidRDefault="00BD5DB4" w:rsidP="00BD5DB4">
      <w:pPr>
        <w:rPr>
          <w:lang w:val="en-GB"/>
        </w:rPr>
      </w:pPr>
      <w:r>
        <w:rPr>
          <w:lang w:val="en-GB"/>
        </w:rPr>
        <w:lastRenderedPageBreak/>
        <w:t>There is so no good reason to justify trying to align NTN band numbering with TN band numbering. And, as this frequency range would be the 1</w:t>
      </w:r>
      <w:r w:rsidRPr="00BC2E5F">
        <w:rPr>
          <w:vertAlign w:val="superscript"/>
          <w:lang w:val="en-GB"/>
        </w:rPr>
        <w:t>st</w:t>
      </w:r>
      <w:r>
        <w:rPr>
          <w:lang w:val="en-GB"/>
        </w:rPr>
        <w:t xml:space="preserve"> NTN band, we would propose to use number “1” for this band.</w:t>
      </w:r>
    </w:p>
    <w:p w14:paraId="727C18BA" w14:textId="56D92019" w:rsidR="00297B5B" w:rsidRDefault="00BD5DB4">
      <w:pPr>
        <w:spacing w:after="0" w:line="240" w:lineRule="auto"/>
        <w:rPr>
          <w:b/>
          <w:bCs/>
          <w:lang w:val="en-GB"/>
        </w:rPr>
      </w:pPr>
      <w:r>
        <w:rPr>
          <w:b/>
          <w:bCs/>
          <w:lang w:val="en-GB"/>
        </w:rPr>
        <w:t>Proposal</w:t>
      </w:r>
      <w:r w:rsidR="009B397B">
        <w:rPr>
          <w:b/>
          <w:bCs/>
          <w:lang w:val="en-GB"/>
        </w:rPr>
        <w:t>2</w:t>
      </w:r>
      <w:r>
        <w:rPr>
          <w:b/>
          <w:bCs/>
          <w:lang w:val="en-GB"/>
        </w:rPr>
        <w:t xml:space="preserve">: The band </w:t>
      </w:r>
      <w:r w:rsidR="00C24FB2">
        <w:rPr>
          <w:b/>
          <w:bCs/>
          <w:lang w:val="en-GB"/>
        </w:rPr>
        <w:t>s</w:t>
      </w:r>
      <w:r>
        <w:rPr>
          <w:b/>
          <w:bCs/>
          <w:lang w:val="en-GB"/>
        </w:rPr>
        <w:t xml:space="preserve">1 will have the frequency range: </w:t>
      </w:r>
      <w:r w:rsidRPr="00BD5DB4">
        <w:rPr>
          <w:b/>
          <w:bCs/>
          <w:lang w:val="en-GB"/>
        </w:rPr>
        <w:t>1980-2010 MHz in UL and 2170-2200 MHz in DL</w:t>
      </w:r>
      <w:r>
        <w:rPr>
          <w:b/>
          <w:bCs/>
          <w:lang w:val="en-GB"/>
        </w:rPr>
        <w:t>.</w:t>
      </w:r>
    </w:p>
    <w:p w14:paraId="6F692E85" w14:textId="528E8C94" w:rsidR="00BD5DB4" w:rsidRDefault="00BD5DB4">
      <w:pPr>
        <w:spacing w:after="0" w:line="240" w:lineRule="auto"/>
        <w:rPr>
          <w:b/>
          <w:bCs/>
          <w:lang w:val="en-GB"/>
        </w:rPr>
      </w:pPr>
    </w:p>
    <w:p w14:paraId="757EA4F8" w14:textId="0C80F413" w:rsidR="005E0E37" w:rsidRPr="005E0E37" w:rsidRDefault="005E0E37">
      <w:pPr>
        <w:spacing w:after="0" w:line="240" w:lineRule="auto"/>
        <w:rPr>
          <w:lang w:val="en-GB"/>
        </w:rPr>
      </w:pPr>
      <w:r>
        <w:rPr>
          <w:lang w:val="en-GB"/>
        </w:rPr>
        <w:t>Also, as it was agreed to consider part of the L-band as a NTN band,</w:t>
      </w:r>
      <w:r w:rsidR="00D175DA">
        <w:rPr>
          <w:lang w:val="en-GB"/>
        </w:rPr>
        <w:t xml:space="preserve"> this NTN band should have be “</w:t>
      </w:r>
      <w:r w:rsidR="00C24FB2">
        <w:rPr>
          <w:lang w:val="en-GB"/>
        </w:rPr>
        <w:t>s</w:t>
      </w:r>
      <w:r w:rsidR="00D175DA">
        <w:rPr>
          <w:lang w:val="en-GB"/>
        </w:rPr>
        <w:t xml:space="preserve">2” band. The exact frequency range definition was not clearly defined and agreed, this is further discussed in our other contribution </w:t>
      </w:r>
      <w:r w:rsidR="009B397B">
        <w:rPr>
          <w:highlight w:val="yellow"/>
          <w:lang w:val="en-GB"/>
        </w:rPr>
        <w:fldChar w:fldCharType="begin"/>
      </w:r>
      <w:r w:rsidR="009B397B">
        <w:rPr>
          <w:lang w:val="en-GB"/>
        </w:rPr>
        <w:instrText xml:space="preserve"> REF _Ref78447255 \r \h </w:instrText>
      </w:r>
      <w:r w:rsidR="009B397B">
        <w:rPr>
          <w:highlight w:val="yellow"/>
          <w:lang w:val="en-GB"/>
        </w:rPr>
      </w:r>
      <w:r w:rsidR="009B397B">
        <w:rPr>
          <w:highlight w:val="yellow"/>
          <w:lang w:val="en-GB"/>
        </w:rPr>
        <w:fldChar w:fldCharType="separate"/>
      </w:r>
      <w:r w:rsidR="009B397B">
        <w:rPr>
          <w:lang w:val="en-GB"/>
        </w:rPr>
        <w:t>[5]</w:t>
      </w:r>
      <w:r w:rsidR="009B397B">
        <w:rPr>
          <w:highlight w:val="yellow"/>
          <w:lang w:val="en-GB"/>
        </w:rPr>
        <w:fldChar w:fldCharType="end"/>
      </w:r>
      <w:r w:rsidR="00D175DA">
        <w:rPr>
          <w:lang w:val="en-GB"/>
        </w:rPr>
        <w:t>.</w:t>
      </w:r>
    </w:p>
    <w:p w14:paraId="0B664C0B" w14:textId="77777777" w:rsidR="005E0E37" w:rsidRDefault="005E0E37">
      <w:pPr>
        <w:spacing w:after="0" w:line="240" w:lineRule="auto"/>
        <w:rPr>
          <w:b/>
          <w:bCs/>
          <w:lang w:val="en-GB"/>
        </w:rPr>
      </w:pPr>
    </w:p>
    <w:p w14:paraId="59153B1C" w14:textId="00C054EE" w:rsidR="005E0E37" w:rsidRDefault="005E0E37" w:rsidP="005E0E37">
      <w:pPr>
        <w:spacing w:after="0" w:line="240" w:lineRule="auto"/>
        <w:rPr>
          <w:b/>
          <w:bCs/>
          <w:lang w:val="en-GB"/>
        </w:rPr>
      </w:pPr>
      <w:r>
        <w:rPr>
          <w:b/>
          <w:bCs/>
          <w:lang w:val="en-GB"/>
        </w:rPr>
        <w:t>Proposal</w:t>
      </w:r>
      <w:r w:rsidR="009B397B">
        <w:rPr>
          <w:b/>
          <w:bCs/>
          <w:lang w:val="en-GB"/>
        </w:rPr>
        <w:t>3</w:t>
      </w:r>
      <w:r>
        <w:rPr>
          <w:b/>
          <w:bCs/>
          <w:lang w:val="en-GB"/>
        </w:rPr>
        <w:t xml:space="preserve">: The band </w:t>
      </w:r>
      <w:r w:rsidR="00C24FB2">
        <w:rPr>
          <w:b/>
          <w:bCs/>
          <w:lang w:val="en-GB"/>
        </w:rPr>
        <w:t>s</w:t>
      </w:r>
      <w:r>
        <w:rPr>
          <w:b/>
          <w:bCs/>
          <w:lang w:val="en-GB"/>
        </w:rPr>
        <w:t>2 will</w:t>
      </w:r>
      <w:r w:rsidR="00D175DA">
        <w:rPr>
          <w:b/>
          <w:bCs/>
          <w:lang w:val="en-GB"/>
        </w:rPr>
        <w:t xml:space="preserve"> be </w:t>
      </w:r>
      <w:r w:rsidR="00006560">
        <w:rPr>
          <w:b/>
          <w:bCs/>
          <w:lang w:val="en-GB"/>
        </w:rPr>
        <w:t xml:space="preserve">the name for the </w:t>
      </w:r>
      <w:r w:rsidR="00D175DA">
        <w:rPr>
          <w:b/>
          <w:bCs/>
          <w:lang w:val="en-GB"/>
        </w:rPr>
        <w:t>part of the L-band agreed to be used for NTN</w:t>
      </w:r>
      <w:r>
        <w:rPr>
          <w:b/>
          <w:bCs/>
          <w:lang w:val="en-GB"/>
        </w:rPr>
        <w:t>.</w:t>
      </w:r>
    </w:p>
    <w:p w14:paraId="25DB1EA4" w14:textId="77777777" w:rsidR="00AE3571" w:rsidRDefault="00AE3571">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734870F2" w:rsidR="00EB476E" w:rsidRDefault="00744830" w:rsidP="00EB476E">
      <w:pPr>
        <w:spacing w:after="120"/>
        <w:jc w:val="both"/>
      </w:pPr>
      <w:r w:rsidRPr="00467DC3">
        <w:t>In this contribution,</w:t>
      </w:r>
      <w:r w:rsidR="0021007D">
        <w:t xml:space="preserve"> </w:t>
      </w:r>
      <w:r w:rsidR="00474B54">
        <w:t xml:space="preserve">we </w:t>
      </w:r>
      <w:r w:rsidR="00DE5229">
        <w:t xml:space="preserve">discussed </w:t>
      </w:r>
      <w:r w:rsidR="007B66CE">
        <w:t xml:space="preserve"> </w:t>
      </w:r>
      <w:r w:rsidR="009B397B">
        <w:t>the NTN band naming scheme and made the following proposals:</w:t>
      </w:r>
    </w:p>
    <w:p w14:paraId="5EF9A025" w14:textId="77777777" w:rsidR="00754D4A" w:rsidRPr="00BD5DB4" w:rsidRDefault="00754D4A" w:rsidP="00754D4A">
      <w:pPr>
        <w:rPr>
          <w:b/>
          <w:bCs/>
          <w:lang w:val="en-GB"/>
        </w:rPr>
      </w:pPr>
      <w:r w:rsidRPr="00BD5DB4">
        <w:rPr>
          <w:b/>
          <w:bCs/>
          <w:lang w:val="en-GB"/>
        </w:rPr>
        <w:t>Proposal</w:t>
      </w:r>
      <w:r>
        <w:rPr>
          <w:b/>
          <w:bCs/>
          <w:lang w:val="en-GB"/>
        </w:rPr>
        <w:t>1</w:t>
      </w:r>
      <w:r w:rsidRPr="00BD5DB4">
        <w:rPr>
          <w:b/>
          <w:bCs/>
          <w:lang w:val="en-GB"/>
        </w:rPr>
        <w:t xml:space="preserve">: NTN </w:t>
      </w:r>
      <w:r>
        <w:rPr>
          <w:b/>
          <w:bCs/>
          <w:lang w:val="en-GB"/>
        </w:rPr>
        <w:t xml:space="preserve">satellite </w:t>
      </w:r>
      <w:r w:rsidRPr="00BD5DB4">
        <w:rPr>
          <w:b/>
          <w:bCs/>
          <w:lang w:val="en-GB"/>
        </w:rPr>
        <w:t>bands will be prefixed with “</w:t>
      </w:r>
      <w:r>
        <w:rPr>
          <w:b/>
          <w:bCs/>
          <w:lang w:val="en-GB"/>
        </w:rPr>
        <w:t>s</w:t>
      </w:r>
      <w:r w:rsidRPr="00BD5DB4">
        <w:rPr>
          <w:b/>
          <w:bCs/>
          <w:lang w:val="en-GB"/>
        </w:rPr>
        <w:t xml:space="preserve">”. NTN </w:t>
      </w:r>
      <w:r>
        <w:rPr>
          <w:b/>
          <w:bCs/>
          <w:lang w:val="en-GB"/>
        </w:rPr>
        <w:t xml:space="preserve">satellite </w:t>
      </w:r>
      <w:r w:rsidRPr="00BD5DB4">
        <w:rPr>
          <w:b/>
          <w:bCs/>
          <w:lang w:val="en-GB"/>
        </w:rPr>
        <w:t xml:space="preserve">band in FR1 will have one or two digits number, while </w:t>
      </w:r>
      <w:r>
        <w:rPr>
          <w:b/>
          <w:bCs/>
          <w:lang w:val="en-GB"/>
        </w:rPr>
        <w:t xml:space="preserve">NTN satellite </w:t>
      </w:r>
      <w:r w:rsidRPr="00BD5DB4">
        <w:rPr>
          <w:b/>
          <w:bCs/>
          <w:lang w:val="en-GB"/>
        </w:rPr>
        <w:t>band in FR2 will have three digits number, with the first digit being “3”.</w:t>
      </w:r>
    </w:p>
    <w:p w14:paraId="6C0AA87C" w14:textId="77777777" w:rsidR="00754D4A" w:rsidRDefault="00754D4A" w:rsidP="00754D4A">
      <w:pPr>
        <w:spacing w:after="0" w:line="240" w:lineRule="auto"/>
        <w:rPr>
          <w:b/>
          <w:bCs/>
          <w:lang w:val="en-GB"/>
        </w:rPr>
      </w:pPr>
      <w:r>
        <w:rPr>
          <w:b/>
          <w:bCs/>
          <w:lang w:val="en-GB"/>
        </w:rPr>
        <w:t xml:space="preserve">Proposal2: The band s1 will have the frequency range: </w:t>
      </w:r>
      <w:r w:rsidRPr="00BD5DB4">
        <w:rPr>
          <w:b/>
          <w:bCs/>
          <w:lang w:val="en-GB"/>
        </w:rPr>
        <w:t>1980-2010 MHz in UL and 2170-2200 MHz in DL</w:t>
      </w:r>
      <w:r>
        <w:rPr>
          <w:b/>
          <w:bCs/>
          <w:lang w:val="en-GB"/>
        </w:rPr>
        <w:t>.</w:t>
      </w:r>
    </w:p>
    <w:p w14:paraId="3EC76225" w14:textId="2EF11F23" w:rsidR="00C73856" w:rsidRDefault="00C73856" w:rsidP="00EB476E">
      <w:pPr>
        <w:spacing w:after="120"/>
        <w:jc w:val="both"/>
        <w:rPr>
          <w:b/>
          <w:bCs/>
          <w:lang w:val="en-GB"/>
        </w:rPr>
      </w:pPr>
    </w:p>
    <w:p w14:paraId="0B37B643" w14:textId="77777777" w:rsidR="00006560" w:rsidRDefault="00006560" w:rsidP="00006560">
      <w:pPr>
        <w:spacing w:after="0" w:line="240" w:lineRule="auto"/>
        <w:rPr>
          <w:b/>
          <w:bCs/>
          <w:lang w:val="en-GB"/>
        </w:rPr>
      </w:pPr>
      <w:r>
        <w:rPr>
          <w:b/>
          <w:bCs/>
          <w:lang w:val="en-GB"/>
        </w:rPr>
        <w:t>Proposal3: The band s2 will be the name for the part of the L-band agreed to be used for NTN.</w:t>
      </w:r>
    </w:p>
    <w:p w14:paraId="73443CFB" w14:textId="77777777" w:rsidR="00754D4A" w:rsidRPr="00035C96" w:rsidRDefault="00754D4A" w:rsidP="00EB476E">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bookmarkStart w:id="1" w:name="_Ref71297840"/>
      <w:r w:rsidRPr="00C647B4">
        <w:t>RP-20</w:t>
      </w:r>
      <w:r>
        <w:t>1256</w:t>
      </w:r>
      <w:r w:rsidRPr="00C647B4">
        <w:t xml:space="preserve">, </w:t>
      </w:r>
      <w:r w:rsidRPr="00D130F7">
        <w:t>Solutions for NR to support non-terrestrial networks (NTN), Thales</w:t>
      </w:r>
      <w:bookmarkEnd w:id="1"/>
      <w:r w:rsidRPr="00C647B4">
        <w:t xml:space="preserve"> </w:t>
      </w:r>
    </w:p>
    <w:p w14:paraId="33347ACA" w14:textId="7C1DA6DC" w:rsidR="00C56E50" w:rsidRPr="00C647B4" w:rsidRDefault="00C56E50" w:rsidP="00C56E50">
      <w:pPr>
        <w:numPr>
          <w:ilvl w:val="0"/>
          <w:numId w:val="9"/>
        </w:numPr>
        <w:rPr>
          <w:bCs/>
          <w:lang w:val="en-US"/>
        </w:rPr>
      </w:pPr>
      <w:bookmarkStart w:id="2" w:name="_Ref61295180"/>
      <w:r w:rsidRPr="00C647B4">
        <w:rPr>
          <w:lang w:val="en-US"/>
        </w:rPr>
        <w:t>RP-2</w:t>
      </w:r>
      <w:r w:rsidR="00A55351">
        <w:rPr>
          <w:lang w:val="en-US"/>
        </w:rPr>
        <w:t>11557</w:t>
      </w:r>
      <w:r w:rsidRPr="00C647B4">
        <w:rPr>
          <w:lang w:val="en-US"/>
        </w:rPr>
        <w:t xml:space="preserve">, </w:t>
      </w:r>
      <w:r w:rsidRPr="00D130F7">
        <w:rPr>
          <w:lang w:val="en-US"/>
        </w:rPr>
        <w:t>Solutions for NR to support non-terrestrial networks (NTN), Thales</w:t>
      </w:r>
      <w:bookmarkEnd w:id="2"/>
      <w:r w:rsidRPr="00C647B4">
        <w:rPr>
          <w:lang w:val="en-US"/>
        </w:rPr>
        <w:t xml:space="preserve"> </w:t>
      </w:r>
    </w:p>
    <w:p w14:paraId="4389FB1E" w14:textId="0AC5C59C" w:rsidR="00AF431D" w:rsidRPr="00AF431D" w:rsidRDefault="00AF431D" w:rsidP="00C56E50">
      <w:pPr>
        <w:numPr>
          <w:ilvl w:val="0"/>
          <w:numId w:val="9"/>
        </w:numPr>
        <w:rPr>
          <w:lang w:val="en-US" w:eastAsia="ja-JP"/>
        </w:rPr>
      </w:pPr>
      <w:bookmarkStart w:id="3" w:name="_Ref67507478"/>
      <w:bookmarkStart w:id="4" w:name="_Ref61295265"/>
      <w:r w:rsidRPr="00AF431D">
        <w:rPr>
          <w:lang w:val="en-US" w:eastAsia="ja-JP"/>
        </w:rPr>
        <w:t xml:space="preserve">R4-2103965, </w:t>
      </w:r>
      <w:r w:rsidRPr="00AF431D">
        <w:rPr>
          <w:szCs w:val="24"/>
        </w:rPr>
        <w:t>Simulation assumption for NTN co-existence study, CATT</w:t>
      </w:r>
      <w:bookmarkEnd w:id="3"/>
    </w:p>
    <w:p w14:paraId="603AB435" w14:textId="05FCBA9E" w:rsidR="00AF431D" w:rsidRPr="009B397B" w:rsidRDefault="001A6F7E" w:rsidP="00C56E50">
      <w:pPr>
        <w:numPr>
          <w:ilvl w:val="0"/>
          <w:numId w:val="9"/>
        </w:numPr>
        <w:rPr>
          <w:lang w:val="en-US" w:eastAsia="ja-JP"/>
        </w:rPr>
      </w:pPr>
      <w:bookmarkStart w:id="5" w:name="_Ref67507636"/>
      <w:r>
        <w:rPr>
          <w:lang w:val="en-GB" w:eastAsia="ja-JP"/>
        </w:rPr>
        <w:t>R4-210</w:t>
      </w:r>
      <w:r w:rsidR="00AE3571">
        <w:rPr>
          <w:lang w:val="en-GB" w:eastAsia="ja-JP"/>
        </w:rPr>
        <w:t>8099</w:t>
      </w:r>
      <w:r>
        <w:rPr>
          <w:lang w:val="en-GB" w:eastAsia="ja-JP"/>
        </w:rPr>
        <w:t xml:space="preserve">, </w:t>
      </w:r>
      <w:r w:rsidRPr="001A6F7E">
        <w:rPr>
          <w:lang w:val="en-GB" w:eastAsia="ja-JP"/>
        </w:rPr>
        <w:t xml:space="preserve">WF </w:t>
      </w:r>
      <w:r w:rsidR="00AE3571">
        <w:rPr>
          <w:lang w:val="en-GB" w:eastAsia="ja-JP"/>
        </w:rPr>
        <w:t>on</w:t>
      </w:r>
      <w:r w:rsidRPr="001A6F7E">
        <w:rPr>
          <w:lang w:val="en-GB" w:eastAsia="ja-JP"/>
        </w:rPr>
        <w:t xml:space="preserve"> NTN</w:t>
      </w:r>
      <w:r w:rsidR="00AE3571">
        <w:rPr>
          <w:lang w:val="en-GB" w:eastAsia="ja-JP"/>
        </w:rPr>
        <w:t xml:space="preserve"> solutions Part1</w:t>
      </w:r>
      <w:r>
        <w:rPr>
          <w:lang w:val="en-GB" w:eastAsia="ja-JP"/>
        </w:rPr>
        <w:t>, Thales</w:t>
      </w:r>
      <w:bookmarkEnd w:id="5"/>
    </w:p>
    <w:p w14:paraId="4B9003E2" w14:textId="6C96DC87" w:rsidR="009B397B" w:rsidRPr="00AE3571" w:rsidRDefault="009B397B" w:rsidP="00C56E50">
      <w:pPr>
        <w:numPr>
          <w:ilvl w:val="0"/>
          <w:numId w:val="9"/>
        </w:numPr>
        <w:rPr>
          <w:lang w:val="en-US" w:eastAsia="ja-JP"/>
        </w:rPr>
      </w:pPr>
      <w:bookmarkStart w:id="6" w:name="_Ref78447255"/>
      <w:r>
        <w:rPr>
          <w:lang w:val="en-GB" w:eastAsia="ja-JP"/>
        </w:rPr>
        <w:t>R4-</w:t>
      </w:r>
      <w:r w:rsidRPr="00D95EE6">
        <w:rPr>
          <w:lang w:val="en-GB" w:eastAsia="ja-JP"/>
        </w:rPr>
        <w:t>21</w:t>
      </w:r>
      <w:r w:rsidR="00D95EE6">
        <w:rPr>
          <w:lang w:val="en-GB" w:eastAsia="ja-JP"/>
        </w:rPr>
        <w:t>1</w:t>
      </w:r>
      <w:r w:rsidR="00D95EE6" w:rsidRPr="00D95EE6">
        <w:rPr>
          <w:lang w:val="en-GB" w:eastAsia="ja-JP"/>
        </w:rPr>
        <w:t>37</w:t>
      </w:r>
      <w:r w:rsidR="00D95EE6">
        <w:rPr>
          <w:lang w:val="en-GB" w:eastAsia="ja-JP"/>
        </w:rPr>
        <w:t>41</w:t>
      </w:r>
      <w:r>
        <w:rPr>
          <w:lang w:val="en-GB" w:eastAsia="ja-JP"/>
        </w:rPr>
        <w:t xml:space="preserve">, </w:t>
      </w:r>
      <w:r>
        <w:t>NTN: Regulatory information, Ericsson.</w:t>
      </w:r>
      <w:bookmarkEnd w:id="6"/>
    </w:p>
    <w:bookmarkEnd w:id="4"/>
    <w:p w14:paraId="4BCA6446" w14:textId="77777777" w:rsidR="00AE3571" w:rsidRPr="007A1680" w:rsidRDefault="00AE3571" w:rsidP="00C56E50">
      <w:pPr>
        <w:numPr>
          <w:ilvl w:val="0"/>
          <w:numId w:val="9"/>
        </w:numPr>
        <w:rPr>
          <w:lang w:val="en-US" w:eastAsia="ja-JP"/>
        </w:rPr>
      </w:pPr>
    </w:p>
    <w:sectPr w:rsidR="00AE3571" w:rsidRPr="007A16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B8A34" w14:textId="77777777" w:rsidR="0023326D" w:rsidRDefault="0023326D">
      <w:r>
        <w:separator/>
      </w:r>
    </w:p>
  </w:endnote>
  <w:endnote w:type="continuationSeparator" w:id="0">
    <w:p w14:paraId="17356853" w14:textId="77777777" w:rsidR="0023326D" w:rsidRDefault="0023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C44B2" w14:textId="77777777" w:rsidR="0023326D" w:rsidRDefault="0023326D">
      <w:r>
        <w:separator/>
      </w:r>
    </w:p>
  </w:footnote>
  <w:footnote w:type="continuationSeparator" w:id="0">
    <w:p w14:paraId="49AB3897" w14:textId="77777777" w:rsidR="0023326D" w:rsidRDefault="00233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0119A2"/>
    <w:multiLevelType w:val="hybridMultilevel"/>
    <w:tmpl w:val="5DACF994"/>
    <w:lvl w:ilvl="0" w:tplc="EFF64974">
      <w:start w:val="8"/>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42"/>
  </w:num>
  <w:num w:numId="4">
    <w:abstractNumId w:val="5"/>
  </w:num>
  <w:num w:numId="5">
    <w:abstractNumId w:val="29"/>
  </w:num>
  <w:num w:numId="6">
    <w:abstractNumId w:val="20"/>
  </w:num>
  <w:num w:numId="7">
    <w:abstractNumId w:val="18"/>
  </w:num>
  <w:num w:numId="8">
    <w:abstractNumId w:val="30"/>
  </w:num>
  <w:num w:numId="9">
    <w:abstractNumId w:val="45"/>
  </w:num>
  <w:num w:numId="10">
    <w:abstractNumId w:val="39"/>
  </w:num>
  <w:num w:numId="11">
    <w:abstractNumId w:val="38"/>
  </w:num>
  <w:num w:numId="12">
    <w:abstractNumId w:val="19"/>
  </w:num>
  <w:num w:numId="13">
    <w:abstractNumId w:val="40"/>
  </w:num>
  <w:num w:numId="14">
    <w:abstractNumId w:val="4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1"/>
  </w:num>
  <w:num w:numId="20">
    <w:abstractNumId w:val="6"/>
  </w:num>
  <w:num w:numId="21">
    <w:abstractNumId w:val="27"/>
  </w:num>
  <w:num w:numId="22">
    <w:abstractNumId w:val="18"/>
  </w:num>
  <w:num w:numId="23">
    <w:abstractNumId w:val="8"/>
  </w:num>
  <w:num w:numId="24">
    <w:abstractNumId w:val="12"/>
  </w:num>
  <w:num w:numId="25">
    <w:abstractNumId w:val="13"/>
  </w:num>
  <w:num w:numId="26">
    <w:abstractNumId w:val="36"/>
  </w:num>
  <w:num w:numId="27">
    <w:abstractNumId w:val="9"/>
  </w:num>
  <w:num w:numId="28">
    <w:abstractNumId w:val="14"/>
  </w:num>
  <w:num w:numId="29">
    <w:abstractNumId w:val="22"/>
  </w:num>
  <w:num w:numId="30">
    <w:abstractNumId w:val="3"/>
  </w:num>
  <w:num w:numId="31">
    <w:abstractNumId w:val="2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1"/>
  </w:num>
  <w:num w:numId="34">
    <w:abstractNumId w:val="37"/>
  </w:num>
  <w:num w:numId="35">
    <w:abstractNumId w:val="35"/>
  </w:num>
  <w:num w:numId="36">
    <w:abstractNumId w:val="34"/>
  </w:num>
  <w:num w:numId="37">
    <w:abstractNumId w:val="11"/>
  </w:num>
  <w:num w:numId="38">
    <w:abstractNumId w:val="26"/>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6"/>
  </w:num>
  <w:num w:numId="43">
    <w:abstractNumId w:val="10"/>
  </w:num>
  <w:num w:numId="44">
    <w:abstractNumId w:val="7"/>
  </w:num>
  <w:num w:numId="45">
    <w:abstractNumId w:val="23"/>
  </w:num>
  <w:num w:numId="46">
    <w:abstractNumId w:val="1"/>
  </w:num>
  <w:num w:numId="47">
    <w:abstractNumId w:val="21"/>
  </w:num>
  <w:num w:numId="48">
    <w:abstractNumId w:val="28"/>
  </w:num>
  <w:num w:numId="49">
    <w:abstractNumId w:val="33"/>
  </w:num>
  <w:num w:numId="5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4FF3"/>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3C1D"/>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66CE"/>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571"/>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B9C"/>
    <w:rsid w:val="00D8779B"/>
    <w:rsid w:val="00D87AEB"/>
    <w:rsid w:val="00D87CC2"/>
    <w:rsid w:val="00D90EAE"/>
    <w:rsid w:val="00D923BF"/>
    <w:rsid w:val="00D92470"/>
    <w:rsid w:val="00D94C30"/>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EE6"/>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D95E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5EE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9057</TotalTime>
  <Pages>2</Pages>
  <Words>683</Words>
  <Characters>3372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249</cp:revision>
  <cp:lastPrinted>2001-04-23T09:30:00Z</cp:lastPrinted>
  <dcterms:created xsi:type="dcterms:W3CDTF">2020-10-15T14:48:00Z</dcterms:created>
  <dcterms:modified xsi:type="dcterms:W3CDTF">2021-08-06T12:24:00Z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